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пользовательское-соглашение"/>
    <w:p>
      <w:pPr>
        <w:pStyle w:val="Heading1"/>
      </w:pPr>
      <w:r>
        <w:t xml:space="preserve">ПОЛЬЗОВАТЕЛЬСКОЕ СОГЛАШЕНИЕ</w:t>
      </w:r>
    </w:p>
    <w:bookmarkStart w:id="28" w:name="X56ff530dcbed9b90c975b7cf7e26f2f604a1cf0"/>
    <w:p>
      <w:pPr>
        <w:pStyle w:val="Heading2"/>
      </w:pPr>
      <w:r>
        <w:t xml:space="preserve">сайта «Altai Optima» (https://optima.altaiweb.online/)</w:t>
      </w:r>
    </w:p>
    <w:p>
      <w:pPr>
        <w:pStyle w:val="FirstParagraph"/>
      </w:pPr>
      <w:r>
        <w:t xml:space="preserve">Настоящее Пользовательское соглашение (далее — «Соглашение») определяет условия использования интернет-ресурса https://optima.altaiweb.online/ (далее — «Сайт») и устанавливает взаимные права и обязанности между Индивидуальным предпринимателем Жалиловой Алиной Наильевной (далее — «Администрация сайта») и любым лицом, осуществляющим доступ к материалам Сайта (далее — «Пользователь»).</w:t>
      </w:r>
    </w:p>
    <w:p>
      <w:pPr>
        <w:pStyle w:val="BodyText"/>
      </w:pPr>
      <w:r>
        <w:t xml:space="preserve">Использование Сайта в любой форме (просмотр страниц, заполнение форм обратной связи, использование расчётного калькулятора, переход по ссылкам в мессенджеры) означает полное и безоговорочное согласие Пользователя с условиями настоящего Соглашения. Если Пользователь не согласен с условиями Соглашения, он обязан немедленно прекратить использование Сайта.</w:t>
      </w:r>
    </w:p>
    <w:p>
      <w:pPr>
        <w:pStyle w:val="BodyText"/>
      </w:pPr>
      <w:r>
        <w:t xml:space="preserve">Настоящее Соглашение регламентирует правила пользования открытым информационным ресурсом. Отношения по разработке, интеграции и предоставлению платного доступа к программным продуктам «Altai Optima» регулируются условиями Публичной оферты, имеющей преимущественную силу.</w:t>
      </w:r>
    </w:p>
    <w:bookmarkStart w:id="20" w:name="общие-положения-и-b2b-направленность"/>
    <w:p>
      <w:pPr>
        <w:pStyle w:val="Heading3"/>
      </w:pPr>
      <w:r>
        <w:t xml:space="preserve">1. ОБЩИЕ ПОЛОЖЕНИЯ И B2B-НАПРАВЛЕННОСТЬ</w:t>
      </w:r>
    </w:p>
    <w:p>
      <w:pPr>
        <w:pStyle w:val="FirstParagraph"/>
      </w:pPr>
      <w:r>
        <w:t xml:space="preserve">1.1. Администратором Сайта является ИП Жалилова Алина Наильевна, ОГРНИП 322774600314630, ИНН 301725020276.</w:t>
      </w:r>
    </w:p>
    <w:p>
      <w:pPr>
        <w:pStyle w:val="BodyText"/>
      </w:pPr>
      <w:r>
        <w:t xml:space="preserve">1.2. Сайт является информационным ресурсом для представителей бизнеса, рассматривающих внедрение средств искусственного интеллекта в коммерческие воронки продаж. Настоящее Соглашение не ограничивает круг лиц, имеющих доступ к общедоступной информации Сайта; вместе с тем возмездные услуги по продукту «Altai Optima» на условиях Публичной оферты оказываются исключительно юридическим лицам, что прямо указано в преамбуле Публичной оферты.</w:t>
      </w:r>
    </w:p>
    <w:p>
      <w:pPr>
        <w:pStyle w:val="BodyText"/>
      </w:pPr>
      <w:r>
        <w:t xml:space="preserve">1.3. Администрация сайта вправе в одностороннем порядке в любое время изменять условия настоящего Соглашения без специального персонального уведомления. Актуальная действующая редакция постоянно доступна на Сайте.</w:t>
      </w:r>
    </w:p>
    <w:bookmarkEnd w:id="20"/>
    <w:bookmarkStart w:id="21" w:name="X051f77581843e7866a6be356ea90104b9b2fa50"/>
    <w:p>
      <w:pPr>
        <w:pStyle w:val="Heading3"/>
      </w:pPr>
      <w:r>
        <w:t xml:space="preserve">2. СТАТУС РАСЧЁТОВ, КЕЙСОВ И МАРКЕТИНГОВОГО КОНТЕНТА</w:t>
      </w:r>
    </w:p>
    <w:p>
      <w:pPr>
        <w:pStyle w:val="FirstParagraph"/>
      </w:pPr>
      <w:r>
        <w:t xml:space="preserve">2.1. Интерактивные расчётные инструменты (калькуляторы окупаемости инвестиций, сохранения конверсии и сокращения операционных расходов) являются оценочными программными модулями, моделирующими гипотетическую финансовую отдачу. Результаты вычислений не являются публичным обязательством, твёрдой офертой либо гарантией получения конкретного финансового результата.</w:t>
      </w:r>
    </w:p>
    <w:p>
      <w:pPr>
        <w:pStyle w:val="BodyText"/>
      </w:pPr>
      <w:r>
        <w:t xml:space="preserve">2.2. Материалы блока «Кейсы» представляют собой аналитическое описание результатов практических внедрений у конкретных заказчиков. Достижение аналогичных показателей зависит от рыночной специфики, структуры цен, рекламных бюджетов и качества работы сотрудников самого Заказчика.</w:t>
      </w:r>
    </w:p>
    <w:p>
      <w:pPr>
        <w:pStyle w:val="BodyText"/>
      </w:pPr>
      <w:r>
        <w:t xml:space="preserve">2.3. Персонажи цифровых ассистентов, карточки и описания виртуальных продавцов являются объектами презентационного маркетингового дизайна и не являются описанием реальных физических лиц либо фиксацией трудовых отношений.</w:t>
      </w:r>
    </w:p>
    <w:bookmarkEnd w:id="21"/>
    <w:bookmarkStart w:id="22" w:name="интеллектуальная-собственность"/>
    <w:p>
      <w:pPr>
        <w:pStyle w:val="Heading3"/>
      </w:pPr>
      <w:r>
        <w:t xml:space="preserve">3. ИНТЕЛЛЕКТУАЛЬНАЯ СОБСТВЕННОСТЬ</w:t>
      </w:r>
    </w:p>
    <w:p>
      <w:pPr>
        <w:pStyle w:val="FirstParagraph"/>
      </w:pPr>
      <w:r>
        <w:t xml:space="preserve">3.1. Все объекты авторского права, размещённые на Сайте (тексты, графические изображения, видеоролики, товарные знаки и фирменные элементы «ALTAI OPTIMA», вёрстка, программный код), являются объектами исключительных прав Администрации сайта либо используются на законных основаниях.</w:t>
      </w:r>
    </w:p>
    <w:p>
      <w:pPr>
        <w:pStyle w:val="BodyText"/>
      </w:pPr>
      <w:r>
        <w:t xml:space="preserve">3.2. Пользователю запрещается воспроизведение, парсинг, скрейпинг, копирование, распространение или иное использование материалов Сайта в коммерческих целях без прямого письменного согласия Администрации сайта.</w:t>
      </w:r>
    </w:p>
    <w:bookmarkEnd w:id="22"/>
    <w:bookmarkStart w:id="23" w:name="X4dbc6d1978a4a7f01a482a9b48a2ec524e94602"/>
    <w:p>
      <w:pPr>
        <w:pStyle w:val="Heading3"/>
      </w:pPr>
      <w:r>
        <w:t xml:space="preserve">4. ОБРАБОТКА ВЕБ-ДАННЫХ И КОНФИДЕНЦИАЛЬНОСТЬ</w:t>
      </w:r>
    </w:p>
    <w:p>
      <w:pPr>
        <w:pStyle w:val="FirstParagraph"/>
      </w:pPr>
      <w:r>
        <w:t xml:space="preserve">4.1. Направляя контактные данные через веб-формы Сайта, Пользователь выражает информированное согласие на их обработку Администрацией сайта в соответствии с Федеральным законом от 27.07.2006 № 152-ФЗ «О персональных данных» в целях обратной связи, демонстрации продукта и направления коммерческих предложений.</w:t>
      </w:r>
    </w:p>
    <w:p>
      <w:pPr>
        <w:pStyle w:val="BodyText"/>
      </w:pPr>
      <w:r>
        <w:t xml:space="preserve">4.2. Пользователь вправе в любой момент отозвать согласие на обработку персональных данных, направив уведомление на электронную почту Администрации сайта, указанную в разделе 8.</w:t>
      </w:r>
    </w:p>
    <w:p>
      <w:pPr>
        <w:pStyle w:val="BodyText"/>
      </w:pPr>
      <w:r>
        <w:t xml:space="preserve">4.3. Сайт вправе применять файлы cookie и инструменты аналитики посещаемости. Продолжая использовать Сайт, Пользователь соглашается на использование таких технологий. Порядок обработки файлов cookie подробно регламентирован отдельной Политикой обработки файлов cookie, размещённой на Сайте.</w:t>
      </w:r>
    </w:p>
    <w:p>
      <w:pPr>
        <w:pStyle w:val="BodyText"/>
      </w:pPr>
      <w:r>
        <w:t xml:space="preserve">4.4. Подробные условия обработки персональных данных (цели, состав, сроки хранения, права субъекта, порядок трансграничной передачи в рамках оказания услуг по Сервису) установлены Политикой обработки персональных данных, размещённой на Сайте, которая является неотъемлемой частью настоящего Соглашения.</w:t>
      </w:r>
    </w:p>
    <w:bookmarkEnd w:id="23"/>
    <w:bookmarkStart w:id="24" w:name="ссылки-на-внешние-сервисы-и-мессенджеры"/>
    <w:p>
      <w:pPr>
        <w:pStyle w:val="Heading3"/>
      </w:pPr>
      <w:r>
        <w:t xml:space="preserve">5. ССЫЛКИ НА ВНЕШНИЕ СЕРВИСЫ И МЕССЕНДЖЕРЫ</w:t>
      </w:r>
    </w:p>
    <w:p>
      <w:pPr>
        <w:pStyle w:val="FirstParagraph"/>
      </w:pPr>
      <w:r>
        <w:t xml:space="preserve">5.1. На Сайте представлены кнопки прямого перехода в мессенджеры Telegram и WhatsApp*. Администрация не несёт ответственности за бесперебойность функционирования данных сторонних платформ, их политику конфиденциальности и условия использования. Переход по таким ссылкам и использование сторонних мессенджеров осуществляется Пользователем на свой риск, с учётом требований законодательства РФ, действующего на момент такого использования.</w:t>
      </w:r>
    </w:p>
    <w:p>
      <w:pPr>
        <w:pStyle w:val="BodyText"/>
      </w:pPr>
      <w:r>
        <w:t xml:space="preserve">5.2. Заказ и оплата услуг на Сайте осуществляются через платёжный сервис Robokassa на защищённой странице платёжного сервиса. Администрация не получает и не хранит данные банковских карт. Порядок заключения договора, оплаты, возврата и иные условия оказания услуг определяются Публичной офертой, размещённой на Сайте; при противоречии условий Публичной оферты и настоящего Соглашения в отношении оплачиваемых услуг применяется Публичная оферта.</w:t>
      </w:r>
    </w:p>
    <w:bookmarkEnd w:id="24"/>
    <w:bookmarkStart w:id="25" w:name="ограничение-ответственности"/>
    <w:p>
      <w:pPr>
        <w:pStyle w:val="Heading3"/>
      </w:pPr>
      <w:r>
        <w:t xml:space="preserve">6. ОГРАНИЧЕНИЕ ОТВЕТСТВЕННОСТИ</w:t>
      </w:r>
    </w:p>
    <w:p>
      <w:pPr>
        <w:pStyle w:val="FirstParagraph"/>
      </w:pPr>
      <w:r>
        <w:t xml:space="preserve">6.1. Сайт предоставляется по принципу «как есть» (as is). Администрация не гарантирует абсолютную бесперебойность работы страниц Сайта на всех типах устройств и во всех браузерах.</w:t>
      </w:r>
    </w:p>
    <w:p>
      <w:pPr>
        <w:pStyle w:val="BodyText"/>
      </w:pPr>
      <w:r>
        <w:t xml:space="preserve">6.2. Администрация сайта не несёт ответственности за любые прямые или косвенные убытки, упущенную выгоду либо материальные потери, возникшие у Пользователя вследствие использования информации Сайта либо отсутствия доступа к нему.</w:t>
      </w:r>
    </w:p>
    <w:p>
      <w:pPr>
        <w:pStyle w:val="BodyText"/>
      </w:pPr>
      <w:r>
        <w:t xml:space="preserve">6.3. Совокупный размер ответственности Администрации перед Пользователем, связанный с использованием бесплатного информационного функционала Сайта, ограничен суммой 1 000 (одна тысяча) рублей.</w:t>
      </w:r>
    </w:p>
    <w:p>
      <w:pPr>
        <w:pStyle w:val="BodyText"/>
      </w:pPr>
      <w:r>
        <w:t xml:space="preserve">6.4. Ограничения, установленные настоящим разделом, не применяются к случаям умышленного нарушения обязательства Администрацией (п. 4 ст. 401 ГК РФ) и не ограничивают права потребителей, установленные императивными нормами Закона РФ «О защите прав потребителей», в случаях, когда Пользователь выступает потребителем услуг Администрации.</w:t>
      </w:r>
    </w:p>
    <w:bookmarkEnd w:id="25"/>
    <w:bookmarkStart w:id="26" w:name="заключительные-положения-и-подсудность"/>
    <w:p>
      <w:pPr>
        <w:pStyle w:val="Heading3"/>
      </w:pPr>
      <w:r>
        <w:t xml:space="preserve">7. ЗАКЛЮЧИТЕЛЬНЫЕ ПОЛОЖЕНИЯ И ПОДСУДНОСТЬ</w:t>
      </w:r>
    </w:p>
    <w:p>
      <w:pPr>
        <w:pStyle w:val="FirstParagraph"/>
      </w:pPr>
      <w:r>
        <w:t xml:space="preserve">7.1. Настоящее Соглашение толкуется и регулируется законодательством Российской Федерации.</w:t>
      </w:r>
    </w:p>
    <w:p>
      <w:pPr>
        <w:pStyle w:val="BodyText"/>
      </w:pPr>
      <w:r>
        <w:t xml:space="preserve">7.2. Досудебный претензионный порядок является обязательным условием обращения в суд по спорам, связанным с использованием Сайта. Претензии направляются на официальный адрес электронной почты Администрации сайта: optima@altaiweb.online. Срок рассмотрения претензий — 15 (пятнадцать) рабочих дней.</w:t>
      </w:r>
    </w:p>
    <w:p>
      <w:pPr>
        <w:pStyle w:val="BodyText"/>
      </w:pPr>
      <w:r>
        <w:t xml:space="preserve">7.3. В случае недостижения согласия спор передаётся на рассмотрение в суд по месту государственной регистрации Администрации (г. Москва), если иная подсудность не установлена императивно законодательством РФ.</w:t>
      </w:r>
    </w:p>
    <w:p>
      <w:pPr>
        <w:pStyle w:val="BodyText"/>
      </w:pPr>
      <w:r>
        <w:t xml:space="preserve">7.4. Признание судом какого-либо положения Соглашения недействительным не влечёт недействительности остальных положений.</w:t>
      </w:r>
    </w:p>
    <w:bookmarkEnd w:id="26"/>
    <w:bookmarkStart w:id="27" w:name="реквизиты-администрации-сайта"/>
    <w:p>
      <w:pPr>
        <w:pStyle w:val="Heading3"/>
      </w:pPr>
      <w:r>
        <w:t xml:space="preserve">8. РЕКВИЗИТЫ АДМИНИСТРАЦИИ САЙТА</w:t>
      </w:r>
    </w:p>
    <w:p>
      <w:pPr>
        <w:pStyle w:val="FirstParagraph"/>
      </w:pPr>
      <w:r>
        <w:rPr>
          <w:bCs/>
          <w:b/>
        </w:rPr>
        <w:t xml:space="preserve">Индивидуальный предприниматель Жалилова Алина Наильевна</w:t>
      </w:r>
    </w:p>
    <w:p>
      <w:pPr>
        <w:numPr>
          <w:ilvl w:val="0"/>
          <w:numId w:val="1001"/>
        </w:numPr>
        <w:pStyle w:val="Compact"/>
      </w:pPr>
      <w:r>
        <w:t xml:space="preserve">Юридический адрес: 108811, г. Москва, пос. Московский, ул. Лаптева, д. 8, корп. 3, кв. 53</w:t>
      </w:r>
    </w:p>
    <w:p>
      <w:pPr>
        <w:numPr>
          <w:ilvl w:val="0"/>
          <w:numId w:val="1001"/>
        </w:numPr>
        <w:pStyle w:val="Compact"/>
      </w:pPr>
      <w:r>
        <w:t xml:space="preserve">Фактический адрес: 115191, г. Москва, ул. Городская, д. 8</w:t>
      </w:r>
    </w:p>
    <w:p>
      <w:pPr>
        <w:numPr>
          <w:ilvl w:val="0"/>
          <w:numId w:val="1001"/>
        </w:numPr>
        <w:pStyle w:val="Compact"/>
      </w:pPr>
      <w:r>
        <w:t xml:space="preserve">ИНН: 301725020276</w:t>
      </w:r>
    </w:p>
    <w:p>
      <w:pPr>
        <w:numPr>
          <w:ilvl w:val="0"/>
          <w:numId w:val="1001"/>
        </w:numPr>
        <w:pStyle w:val="Compact"/>
      </w:pPr>
      <w:r>
        <w:t xml:space="preserve">ОГРНИП: 322774600314630</w:t>
      </w:r>
    </w:p>
    <w:p>
      <w:pPr>
        <w:numPr>
          <w:ilvl w:val="0"/>
          <w:numId w:val="1001"/>
        </w:numPr>
        <w:pStyle w:val="Compact"/>
      </w:pPr>
      <w:r>
        <w:t xml:space="preserve">ОКПО: 2015473386</w:t>
      </w:r>
    </w:p>
    <w:p>
      <w:pPr>
        <w:numPr>
          <w:ilvl w:val="0"/>
          <w:numId w:val="1001"/>
        </w:numPr>
        <w:pStyle w:val="Compact"/>
      </w:pPr>
      <w:r>
        <w:t xml:space="preserve">Электронная почта: optima@altaiweb.online</w:t>
      </w:r>
    </w:p>
    <w:p>
      <w:pPr>
        <w:numPr>
          <w:ilvl w:val="0"/>
          <w:numId w:val="1001"/>
        </w:numPr>
        <w:pStyle w:val="Compact"/>
      </w:pPr>
      <w:r>
        <w:t xml:space="preserve">Каналы взаимодействия: Telegram — @altaioptima; WhatsApp* — +7 (999) 834-12-05</w:t>
      </w:r>
    </w:p>
    <w:p>
      <w:pPr>
        <w:pStyle w:val="FirstParagraph"/>
      </w:pPr>
      <w:r>
        <w:rPr>
          <w:iCs/>
          <w:i/>
        </w:rPr>
        <w:t xml:space="preserve">Дата публикации и вступления в силу редакции: 30.09.2026</w:t>
      </w:r>
    </w:p>
    <w:p>
      <w:pPr>
        <w:pStyle w:val="BodyText"/>
      </w:pPr>
      <w:r>
        <w:t xml:space="preserve">* WhatsApp и Instagram принадлежат компании Meta Platforms Inc., деятельность которой признана экстремистской и запрещена на территории Российской Федерации.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color w:val="007020"/>
      <w:b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color w:val="008000"/>
      <w:b/>
    </w:rPr>
  </w:style>
  <w:style w:customStyle="1" w:styleId="CommentTok" w:type="character">
    <w:name w:val="CommentTok"/>
    <w:basedOn w:val="VerbatimChar"/>
    <w:rPr>
      <w:color w:val="60a0b0"/>
      <w:i/>
    </w:rPr>
  </w:style>
  <w:style w:customStyle="1" w:styleId="DocumentationTok" w:type="character">
    <w:name w:val="DocumentationTok"/>
    <w:basedOn w:val="VerbatimChar"/>
    <w:rPr>
      <w:color w:val="ba2121"/>
      <w:i/>
    </w:rPr>
  </w:style>
  <w:style w:customStyle="1" w:styleId="AnnotationTok" w:type="character">
    <w:name w:val="AnnotationTok"/>
    <w:basedOn w:val="VerbatimChar"/>
    <w:rPr>
      <w:color w:val="60a0b0"/>
      <w:b/>
      <w:i/>
    </w:rPr>
  </w:style>
  <w:style w:customStyle="1" w:styleId="CommentVarTok" w:type="character">
    <w:name w:val="CommentVarTok"/>
    <w:basedOn w:val="VerbatimChar"/>
    <w:rPr>
      <w:color w:val="60a0b0"/>
      <w:b/>
      <w:i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color w:val="007020"/>
      <w:b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color w:val="60a0b0"/>
      <w:b/>
      <w:i/>
    </w:rPr>
  </w:style>
  <w:style w:customStyle="1" w:styleId="WarningTok" w:type="character">
    <w:name w:val="WarningTok"/>
    <w:basedOn w:val="VerbatimChar"/>
    <w:rPr>
      <w:color w:val="60a0b0"/>
      <w:b/>
      <w:i/>
    </w:rPr>
  </w:style>
  <w:style w:customStyle="1" w:styleId="AlertTok" w:type="character">
    <w:name w:val="AlertTok"/>
    <w:basedOn w:val="VerbatimChar"/>
    <w:rPr>
      <w:color w:val="ff0000"/>
      <w:b/>
    </w:rPr>
  </w:style>
  <w:style w:customStyle="1" w:styleId="ErrorTok" w:type="character">
    <w:name w:val="ErrorTok"/>
    <w:basedOn w:val="VerbatimChar"/>
    <w:rPr>
      <w:color w:val="ff0000"/>
      <w:b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2026-09-30T17:45:59Z</dcterms:created>
  <dcterms:modified xsi:type="dcterms:W3CDTF">2026-09-30T17:45:59Z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